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5E" w:rsidRDefault="00071A5E">
      <w:pPr>
        <w:rPr>
          <w:sz w:val="30"/>
          <w:szCs w:val="30"/>
        </w:rPr>
      </w:pPr>
      <w:r>
        <w:rPr>
          <w:rFonts w:hint="eastAsia"/>
          <w:sz w:val="30"/>
          <w:szCs w:val="30"/>
        </w:rPr>
        <w:t>附件一</w:t>
      </w:r>
    </w:p>
    <w:p w:rsidR="00071A5E" w:rsidRDefault="00071A5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小断面隧道开挖电子雷管试用活动规则</w:t>
      </w:r>
    </w:p>
    <w:p w:rsidR="00071A5E" w:rsidRDefault="00071A5E">
      <w:pPr>
        <w:jc w:val="center"/>
        <w:rPr>
          <w:rFonts w:ascii="华文楷体" w:eastAsia="华文楷体" w:hAnsi="华文楷体" w:cs="华文楷体"/>
          <w:sz w:val="32"/>
          <w:szCs w:val="32"/>
        </w:rPr>
      </w:pPr>
      <w:r>
        <w:rPr>
          <w:rFonts w:ascii="华文楷体" w:eastAsia="华文楷体" w:hAnsi="华文楷体" w:cs="华文楷体" w:hint="eastAsia"/>
          <w:sz w:val="32"/>
          <w:szCs w:val="32"/>
        </w:rPr>
        <w:t xml:space="preserve">2020年3月 </w:t>
      </w:r>
    </w:p>
    <w:p w:rsidR="00071A5E" w:rsidRDefault="00071A5E">
      <w:pPr>
        <w:ind w:firstLineChars="200" w:firstLine="640"/>
        <w:rPr>
          <w:rFonts w:ascii="黑体" w:eastAsia="黑体" w:hAnsi="黑体" w:cs="黑体"/>
          <w:sz w:val="32"/>
          <w:szCs w:val="32"/>
        </w:rPr>
      </w:pPr>
      <w:r>
        <w:rPr>
          <w:rFonts w:ascii="黑体" w:eastAsia="黑体" w:hAnsi="黑体" w:cs="黑体" w:hint="eastAsia"/>
          <w:sz w:val="32"/>
          <w:szCs w:val="32"/>
        </w:rPr>
        <w:t>一、活动目的</w:t>
      </w:r>
    </w:p>
    <w:p w:rsidR="00071A5E" w:rsidRDefault="00071A5E">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针对当前缺乏电子雷管在小断面隧道爆破中起爆可靠性和爆破效果的统一评价数据的问题，为电子雷管供需双方提供电子雷管在小断面隧道开挖爆破中起爆性能和使用效果的展示平台，帮助使用单位选择需要的产品，同时也帮助生产企业推介产品，有效推进电子雷管的应用。</w:t>
      </w:r>
    </w:p>
    <w:p w:rsidR="00071A5E" w:rsidRDefault="00071A5E">
      <w:pPr>
        <w:ind w:firstLineChars="200" w:firstLine="640"/>
        <w:rPr>
          <w:rFonts w:ascii="黑体" w:eastAsia="黑体" w:hAnsi="黑体" w:cs="黑体"/>
          <w:sz w:val="32"/>
          <w:szCs w:val="32"/>
        </w:rPr>
      </w:pPr>
      <w:r>
        <w:rPr>
          <w:rFonts w:ascii="黑体" w:eastAsia="黑体" w:hAnsi="黑体" w:cs="黑体" w:hint="eastAsia"/>
          <w:sz w:val="32"/>
          <w:szCs w:val="32"/>
        </w:rPr>
        <w:t>二、使用条件</w:t>
      </w:r>
    </w:p>
    <w:p w:rsidR="00071A5E" w:rsidRDefault="00071A5E">
      <w:pPr>
        <w:ind w:firstLineChars="200" w:firstLine="640"/>
        <w:rPr>
          <w:rFonts w:ascii="仿宋" w:eastAsia="仿宋" w:hAnsi="仿宋" w:cs="仿宋"/>
          <w:sz w:val="32"/>
          <w:szCs w:val="32"/>
        </w:rPr>
      </w:pPr>
      <w:r w:rsidRPr="00AA7DAE">
        <w:rPr>
          <w:rFonts w:ascii="仿宋" w:eastAsia="仿宋" w:hAnsi="仿宋" w:cs="仿宋" w:hint="eastAsia"/>
          <w:sz w:val="32"/>
          <w:szCs w:val="32"/>
        </w:rPr>
        <w:t>（一）选择隧道</w:t>
      </w:r>
      <w:r w:rsidR="00160176" w:rsidRPr="00AA7DAE">
        <w:rPr>
          <w:rFonts w:ascii="仿宋" w:eastAsia="仿宋" w:hAnsi="仿宋" w:cs="仿宋" w:hint="eastAsia"/>
          <w:sz w:val="32"/>
          <w:szCs w:val="32"/>
        </w:rPr>
        <w:t>开挖</w:t>
      </w:r>
      <w:r w:rsidRPr="00AA7DAE">
        <w:rPr>
          <w:rFonts w:ascii="仿宋" w:eastAsia="仿宋" w:hAnsi="仿宋" w:cs="仿宋" w:hint="eastAsia"/>
          <w:sz w:val="32"/>
          <w:szCs w:val="32"/>
        </w:rPr>
        <w:t>断面面积为8-25</w:t>
      </w:r>
      <w:r w:rsidRPr="00AA7DAE">
        <w:rPr>
          <w:rFonts w:ascii="仿宋" w:eastAsia="仿宋" w:hAnsi="仿宋" w:cs="仿宋" w:hint="eastAsia"/>
          <w:sz w:val="32"/>
          <w:szCs w:val="32"/>
        </w:rPr>
        <w:object w:dxaOrig="378" w:dyaOrig="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8.75pt;height:15pt;mso-position-horizontal-relative:page;mso-position-vertical-relative:page" o:ole="">
            <v:fill o:detectmouseclick="t"/>
            <v:imagedata r:id="rId6" o:title="" embosscolor="white"/>
          </v:shape>
          <o:OLEObject Type="Embed" ProgID="Equation.KSEE3" ShapeID="对象 1" DrawAspect="Content" ObjectID="_1646747145" r:id="rId7">
            <o:FieldCodes>\* MERGEFORMAT</o:FieldCodes>
          </o:OLEObject>
        </w:object>
      </w:r>
      <w:r w:rsidRPr="00AA7DAE">
        <w:rPr>
          <w:rFonts w:ascii="仿宋" w:eastAsia="仿宋" w:hAnsi="仿宋" w:cs="仿宋" w:hint="eastAsia"/>
          <w:sz w:val="32"/>
          <w:szCs w:val="32"/>
        </w:rPr>
        <w:t>（主隧道出口段最</w:t>
      </w:r>
      <w:r w:rsidR="00160176" w:rsidRPr="00AA7DAE">
        <w:rPr>
          <w:rFonts w:ascii="仿宋" w:eastAsia="仿宋" w:hAnsi="仿宋" w:cs="仿宋" w:hint="eastAsia"/>
          <w:sz w:val="32"/>
          <w:szCs w:val="32"/>
        </w:rPr>
        <w:t>小</w:t>
      </w:r>
      <w:r w:rsidRPr="00AA7DAE">
        <w:rPr>
          <w:rFonts w:ascii="仿宋" w:eastAsia="仿宋" w:hAnsi="仿宋" w:cs="仿宋" w:hint="eastAsia"/>
          <w:sz w:val="32"/>
          <w:szCs w:val="32"/>
        </w:rPr>
        <w:t>断面约8.5</w:t>
      </w:r>
      <w:r w:rsidRPr="00AA7DAE">
        <w:rPr>
          <w:rFonts w:ascii="仿宋" w:eastAsia="仿宋" w:hAnsi="仿宋" w:cs="仿宋" w:hint="eastAsia"/>
          <w:sz w:val="32"/>
          <w:szCs w:val="32"/>
        </w:rPr>
        <w:object w:dxaOrig="378" w:dyaOrig="298">
          <v:shape id="对象 3" o:spid="_x0000_i1026" type="#_x0000_t75" style="width:18.75pt;height:15pt;mso-position-horizontal-relative:page;mso-position-vertical-relative:page" o:ole="">
            <v:imagedata r:id="rId6" o:title="" embosscolor="white"/>
          </v:shape>
          <o:OLEObject Type="Embed" ProgID="Equation.KSEE3" ShapeID="对象 3" DrawAspect="Content" ObjectID="_1646747146" r:id="rId8">
            <o:FieldCodes>\* MERGEFORMAT</o:FieldCodes>
          </o:OLEObject>
        </w:object>
      </w:r>
      <w:r w:rsidRPr="00AA7DAE">
        <w:rPr>
          <w:rFonts w:ascii="仿宋" w:eastAsia="仿宋" w:hAnsi="仿宋" w:cs="仿宋" w:hint="eastAsia"/>
          <w:sz w:val="32"/>
          <w:szCs w:val="32"/>
        </w:rPr>
        <w:t>, 支洞最</w:t>
      </w:r>
      <w:r w:rsidR="00160176" w:rsidRPr="00AA7DAE">
        <w:rPr>
          <w:rFonts w:ascii="仿宋" w:eastAsia="仿宋" w:hAnsi="仿宋" w:cs="仿宋" w:hint="eastAsia"/>
          <w:sz w:val="32"/>
          <w:szCs w:val="32"/>
        </w:rPr>
        <w:t>小</w:t>
      </w:r>
      <w:r w:rsidRPr="00AA7DAE">
        <w:rPr>
          <w:rFonts w:ascii="仿宋" w:eastAsia="仿宋" w:hAnsi="仿宋" w:cs="仿宋" w:hint="eastAsia"/>
          <w:sz w:val="32"/>
          <w:szCs w:val="32"/>
        </w:rPr>
        <w:t>断面约21.35</w:t>
      </w:r>
      <w:r w:rsidRPr="00AA7DAE">
        <w:rPr>
          <w:rFonts w:ascii="仿宋" w:eastAsia="仿宋" w:hAnsi="仿宋" w:cs="仿宋" w:hint="eastAsia"/>
          <w:sz w:val="32"/>
          <w:szCs w:val="32"/>
        </w:rPr>
        <w:object w:dxaOrig="378" w:dyaOrig="298">
          <v:shape id="对象 4" o:spid="_x0000_i1027" type="#_x0000_t75" style="width:18.75pt;height:15pt;mso-position-horizontal-relative:page;mso-position-vertical-relative:page" o:ole="">
            <v:imagedata r:id="rId6" o:title="" embosscolor="white"/>
          </v:shape>
          <o:OLEObject Type="Embed" ProgID="Equation.KSEE3" ShapeID="对象 4" DrawAspect="Content" ObjectID="_1646747147" r:id="rId9">
            <o:FieldCodes>\* MERGEFORMAT</o:FieldCodes>
          </o:OLEObject>
        </w:object>
      </w:r>
      <w:r w:rsidRPr="00AA7DAE">
        <w:rPr>
          <w:rFonts w:ascii="仿宋" w:eastAsia="仿宋" w:hAnsi="仿宋" w:cs="仿宋" w:hint="eastAsia"/>
          <w:sz w:val="32"/>
          <w:szCs w:val="32"/>
        </w:rPr>
        <w:t>,根据不同围岩类别断面有所</w:t>
      </w:r>
      <w:r w:rsidR="007769D2" w:rsidRPr="00AA7DAE">
        <w:rPr>
          <w:rFonts w:ascii="仿宋" w:eastAsia="仿宋" w:hAnsi="仿宋" w:cs="仿宋" w:hint="eastAsia"/>
          <w:sz w:val="32"/>
          <w:szCs w:val="32"/>
        </w:rPr>
        <w:t>区别</w:t>
      </w:r>
      <w:r w:rsidRPr="00AA7DAE">
        <w:rPr>
          <w:rFonts w:ascii="仿宋" w:eastAsia="仿宋" w:hAnsi="仿宋" w:cs="仿宋" w:hint="eastAsia"/>
          <w:sz w:val="32"/>
          <w:szCs w:val="32"/>
        </w:rPr>
        <w:t>，最大的断面不超过25</w:t>
      </w:r>
      <w:r w:rsidRPr="00AA7DAE">
        <w:rPr>
          <w:rFonts w:ascii="仿宋" w:eastAsia="仿宋" w:hAnsi="仿宋" w:cs="仿宋" w:hint="eastAsia"/>
          <w:sz w:val="32"/>
          <w:szCs w:val="32"/>
        </w:rPr>
        <w:object w:dxaOrig="378" w:dyaOrig="298">
          <v:shape id="对象 2" o:spid="_x0000_i1028" type="#_x0000_t75" style="width:18.75pt;height:15pt;mso-position-horizontal-relative:page;mso-position-vertical-relative:page" o:ole="">
            <v:imagedata r:id="rId6" o:title="" embosscolor="white"/>
          </v:shape>
          <o:OLEObject Type="Embed" ProgID="Equation.KSEE3" ShapeID="对象 2" DrawAspect="Content" ObjectID="_1646747148" r:id="rId10">
            <o:FieldCodes>\* MERGEFORMAT</o:FieldCodes>
          </o:OLEObject>
        </w:object>
      </w:r>
      <w:r w:rsidRPr="00AA7DAE">
        <w:rPr>
          <w:rFonts w:ascii="仿宋" w:eastAsia="仿宋" w:hAnsi="仿宋" w:cs="仿宋" w:hint="eastAsia"/>
          <w:sz w:val="32"/>
          <w:szCs w:val="32"/>
        </w:rPr>
        <w:t>）、选择1个或2个围岩类别和地质条件基本相同的同一隧道工程项目，全断</w:t>
      </w:r>
      <w:r>
        <w:rPr>
          <w:rFonts w:ascii="仿宋" w:eastAsia="仿宋" w:hAnsi="仿宋" w:cs="仿宋" w:hint="eastAsia"/>
          <w:sz w:val="32"/>
          <w:szCs w:val="32"/>
        </w:rPr>
        <w:t xml:space="preserve">面开挖，断面面积不变； </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（二）采用相同爆破设计施工方案，爆破参数不变，使用同源同种同批炸药；</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（三）以同一爆破作业单位的同批爆破作业人员实施施工、爆破作业；</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（四）每一个厂家的电子雷管在同一个（支洞或主隧道出口段，选其中一个，视试用时间段与工程的实际进度情况决定）或二个隧道（支洞和主隧道出口段，选两个</w:t>
      </w:r>
      <w:r w:rsidRPr="008B0661">
        <w:rPr>
          <w:rFonts w:ascii="仿宋" w:eastAsia="仿宋" w:hAnsi="仿宋" w:cs="仿宋" w:hint="eastAsia"/>
          <w:sz w:val="32"/>
          <w:szCs w:val="32"/>
        </w:rPr>
        <w:t>）</w:t>
      </w:r>
      <w:r w:rsidR="00BB6433" w:rsidRPr="008B0661">
        <w:rPr>
          <w:rFonts w:ascii="仿宋" w:eastAsia="仿宋" w:hAnsi="仿宋" w:cs="仿宋" w:hint="eastAsia"/>
          <w:sz w:val="32"/>
          <w:szCs w:val="32"/>
        </w:rPr>
        <w:t>各</w:t>
      </w:r>
      <w:r w:rsidRPr="008B0661">
        <w:rPr>
          <w:rFonts w:ascii="仿宋" w:eastAsia="仿宋" w:hAnsi="仿宋" w:cs="仿宋" w:hint="eastAsia"/>
          <w:sz w:val="32"/>
          <w:szCs w:val="32"/>
        </w:rPr>
        <w:t>进</w:t>
      </w:r>
      <w:r>
        <w:rPr>
          <w:rFonts w:ascii="仿宋" w:eastAsia="仿宋" w:hAnsi="仿宋" w:cs="仿宋" w:hint="eastAsia"/>
          <w:sz w:val="32"/>
          <w:szCs w:val="32"/>
        </w:rPr>
        <w:t>行五个至十个（视报名厂家的数量多少决定）循环的爆破作业。</w:t>
      </w:r>
    </w:p>
    <w:p w:rsidR="00071A5E" w:rsidRDefault="00071A5E">
      <w:pPr>
        <w:ind w:firstLineChars="200" w:firstLine="640"/>
        <w:rPr>
          <w:rFonts w:ascii="黑体" w:eastAsia="黑体" w:hAnsi="黑体" w:cs="黑体"/>
          <w:sz w:val="32"/>
          <w:szCs w:val="32"/>
        </w:rPr>
      </w:pPr>
      <w:r>
        <w:rPr>
          <w:rFonts w:ascii="黑体" w:eastAsia="黑体" w:hAnsi="黑体" w:cs="黑体" w:hint="eastAsia"/>
          <w:sz w:val="32"/>
          <w:szCs w:val="32"/>
        </w:rPr>
        <w:t>三、记录评议范围</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（一）对照</w:t>
      </w:r>
      <w:r>
        <w:rPr>
          <w:rFonts w:ascii="Times New Roman" w:eastAsia="仿宋_GB2312" w:hAnsi="Times New Roman"/>
          <w:sz w:val="32"/>
          <w:szCs w:val="32"/>
        </w:rPr>
        <w:t>《工业电子雷管信息管理通则》（</w:t>
      </w:r>
      <w:r>
        <w:rPr>
          <w:rFonts w:ascii="Times New Roman" w:eastAsia="仿宋_GB2312" w:hAnsi="Times New Roman"/>
          <w:sz w:val="32"/>
          <w:szCs w:val="32"/>
        </w:rPr>
        <w:t>GA1531—2018</w:t>
      </w:r>
      <w:r>
        <w:rPr>
          <w:rFonts w:ascii="Times New Roman" w:eastAsia="仿宋_GB2312" w:hAnsi="Times New Roman" w:hint="eastAsia"/>
          <w:sz w:val="32"/>
          <w:szCs w:val="32"/>
        </w:rPr>
        <w:t>，以下简称《通则》</w:t>
      </w:r>
      <w:r>
        <w:rPr>
          <w:rFonts w:ascii="Times New Roman" w:eastAsia="仿宋_GB2312" w:hAnsi="Times New Roman"/>
          <w:sz w:val="32"/>
          <w:szCs w:val="32"/>
        </w:rPr>
        <w:t>）</w:t>
      </w:r>
      <w:r>
        <w:rPr>
          <w:rFonts w:ascii="Times New Roman" w:eastAsia="仿宋_GB2312" w:hAnsi="Times New Roman" w:hint="eastAsia"/>
          <w:sz w:val="32"/>
          <w:szCs w:val="32"/>
        </w:rPr>
        <w:t>与作业现场有关的各项要求的实施方法、方法的可靠性和符合性情况，如</w:t>
      </w:r>
      <w:r>
        <w:rPr>
          <w:rFonts w:ascii="仿宋" w:eastAsia="仿宋" w:hAnsi="仿宋" w:cs="仿宋" w:hint="eastAsia"/>
          <w:sz w:val="32"/>
          <w:szCs w:val="32"/>
        </w:rPr>
        <w:t>现场对电子雷管外观检查、工作码获取、延时设定、APP的应用、离线下载、数据上传等；</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（二）作业现场基本操作的可靠性情况，如导通、快速接线夹、接线卡子的可靠性，防水性能，雷管掉孔、起爆器操作异常等异常情况的处理；</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（三）爆破效果情况，如循环进尺、光面效果、隧道整体成型效果、大块率，测振结果等；</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（四）盲炮发生情况，主要为盲炮发生频次，其次为发生数量。</w:t>
      </w:r>
    </w:p>
    <w:p w:rsidR="00071A5E" w:rsidRDefault="006D116B">
      <w:pPr>
        <w:ind w:firstLineChars="200" w:firstLine="640"/>
        <w:rPr>
          <w:rFonts w:ascii="黑体" w:eastAsia="黑体" w:hAnsi="黑体" w:cs="黑体"/>
          <w:sz w:val="32"/>
          <w:szCs w:val="32"/>
        </w:rPr>
      </w:pPr>
      <w:r>
        <w:rPr>
          <w:rFonts w:ascii="黑体" w:eastAsia="黑体" w:hAnsi="黑体" w:cs="黑体" w:hint="eastAsia"/>
          <w:sz w:val="32"/>
          <w:szCs w:val="32"/>
        </w:rPr>
        <w:t>四</w:t>
      </w:r>
      <w:r w:rsidR="00071A5E">
        <w:rPr>
          <w:rFonts w:ascii="黑体" w:eastAsia="黑体" w:hAnsi="黑体" w:cs="黑体" w:hint="eastAsia"/>
          <w:sz w:val="32"/>
          <w:szCs w:val="32"/>
        </w:rPr>
        <w:t>、评议要求</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（一）设评议小组，成员共5-7人，其中协会专家3-5人（含组长1人），特邀公安监管部门2人。</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（二）评议小组审查确认活动各环节的规则符合情况。</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（三）评议小组根据现场产品检查记录、作业记录、视频记录、施工验收和爆后检查记录、问题溯源及处理结果追踪等情况，如实填表，记录评分和综合评定结果。</w:t>
      </w:r>
    </w:p>
    <w:p w:rsidR="00071A5E" w:rsidRDefault="006D116B">
      <w:pPr>
        <w:ind w:firstLineChars="200" w:firstLine="640"/>
        <w:rPr>
          <w:rFonts w:ascii="黑体" w:eastAsia="黑体" w:hAnsi="黑体" w:cs="黑体"/>
          <w:sz w:val="32"/>
          <w:szCs w:val="32"/>
        </w:rPr>
      </w:pPr>
      <w:r>
        <w:rPr>
          <w:rFonts w:ascii="黑体" w:eastAsia="黑体" w:hAnsi="黑体" w:cs="黑体" w:hint="eastAsia"/>
          <w:sz w:val="32"/>
          <w:szCs w:val="32"/>
        </w:rPr>
        <w:t>五</w:t>
      </w:r>
      <w:r w:rsidR="00071A5E">
        <w:rPr>
          <w:rFonts w:ascii="黑体" w:eastAsia="黑体" w:hAnsi="黑体" w:cs="黑体" w:hint="eastAsia"/>
          <w:sz w:val="32"/>
          <w:szCs w:val="32"/>
        </w:rPr>
        <w:t>、实施过程</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一）由爆破作业单位提出爆破设计施工方案，经本协会组织专家审查；请参加活动单位派出的技术人员代表参加爆破设计施工方案讨论会，爆破作业单位根据合理意见对方案进行必要的优化；最终方案向全部参加单位和各监督、管理方发布。</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（二）以报名先后顺序作为各厂家产品试用顺序，并公布。原</w:t>
      </w:r>
      <w:r>
        <w:rPr>
          <w:rFonts w:ascii="仿宋" w:eastAsia="仿宋" w:hAnsi="仿宋" w:cs="仿宋" w:hint="eastAsia"/>
          <w:sz w:val="32"/>
          <w:szCs w:val="32"/>
        </w:rPr>
        <w:lastRenderedPageBreak/>
        <w:t>则上不得临时更改顺序，不能按顺序进行试用的产品，应当按照自行退出活动处理。</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（三）现场作业前，由厂方代表对爆破作业人员进行必要的操作培训交底；然后，由爆破作业单位独立操作。未经活动组织方同意，在作业过程中厂方代表不得进入作业现场。</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（四）装药前先由爆破安全监理人员、协会专家对施工情况进行验收和记录，公布验收情况。</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（五）爆破作业人员按照《爆破安全规程》和《通则》要求进行电子雷管相关操作；使用本活动专门的作业日志，如实记录操作过程和异常情况、异常处理情况和处理结果；异常雷管应当注明编号。</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（六）爆破后的爆堆现场检查环节，由爆破安全监理人员、协会专家与爆破作业人员共同进行，认真查验爆破效果和盲炮情况，并进行详细记录。</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（七）与电子雷管有关的作业活动均有现场视频记录，客观反映下列过程情况：</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1、作业情况，包括与电子雷管及其必须现场使用的附件有关的作业时间、作业人员、作业种类、操作方法和过程、设备仪表读数等；</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2、施工验收情况，包括现场的验收人员和验收经过、检查和测量结果报数、记录人员信息等；</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t>3、爆破后现场检查情况，包括检查人员、检查和测量结果报数、记录人员信息等。</w:t>
      </w:r>
    </w:p>
    <w:p w:rsidR="00071A5E" w:rsidRDefault="00071A5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（八）五个至十个循环爆破结束后，由评议小组汇总、检查资料和数据，根据评议要求集中填写记录评分和综合评定结果。</w:t>
      </w:r>
    </w:p>
    <w:p w:rsidR="00071A5E" w:rsidRDefault="00071A5E">
      <w:pPr>
        <w:rPr>
          <w:rFonts w:ascii="宋体" w:hAnsi="宋体" w:cs="宋体"/>
          <w:b/>
          <w:bCs/>
          <w:color w:val="000000"/>
          <w:sz w:val="28"/>
          <w:szCs w:val="28"/>
        </w:rPr>
      </w:pPr>
    </w:p>
    <w:p w:rsidR="00071A5E" w:rsidRPr="00952C3E" w:rsidRDefault="00071A5E">
      <w:pPr>
        <w:widowControl/>
        <w:jc w:val="left"/>
        <w:rPr>
          <w:sz w:val="30"/>
          <w:szCs w:val="30"/>
        </w:rPr>
      </w:pPr>
    </w:p>
    <w:sectPr w:rsidR="00071A5E" w:rsidRPr="00952C3E" w:rsidSect="00243BE5">
      <w:pgSz w:w="11906" w:h="16838"/>
      <w:pgMar w:top="1021" w:right="1077" w:bottom="1021" w:left="1520" w:header="851" w:footer="992"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50" w:rsidRPr="00E51530" w:rsidRDefault="004E1E50" w:rsidP="00E51530">
      <w:pPr>
        <w:rPr>
          <w:rFonts w:ascii="Times New Roman" w:hAnsi="Times New Roman"/>
        </w:rPr>
      </w:pPr>
      <w:r>
        <w:separator/>
      </w:r>
    </w:p>
  </w:endnote>
  <w:endnote w:type="continuationSeparator" w:id="0">
    <w:p w:rsidR="004E1E50" w:rsidRPr="00E51530" w:rsidRDefault="004E1E50" w:rsidP="00E51530">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1" w:usb1="080E0000" w:usb2="00000000" w:usb3="00000000" w:csb0="00040000" w:csb1="00000000"/>
  </w:font>
  <w:font w:name="华文楷体">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50" w:rsidRPr="00E51530" w:rsidRDefault="004E1E50" w:rsidP="00E51530">
      <w:pPr>
        <w:rPr>
          <w:rFonts w:ascii="Times New Roman" w:hAnsi="Times New Roman"/>
        </w:rPr>
      </w:pPr>
      <w:r>
        <w:separator/>
      </w:r>
    </w:p>
  </w:footnote>
  <w:footnote w:type="continuationSeparator" w:id="0">
    <w:p w:rsidR="004E1E50" w:rsidRPr="00E51530" w:rsidRDefault="004E1E50" w:rsidP="00E51530">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4DF"/>
    <w:rsid w:val="00013ED5"/>
    <w:rsid w:val="0004447C"/>
    <w:rsid w:val="00046411"/>
    <w:rsid w:val="00050C9E"/>
    <w:rsid w:val="00071A5E"/>
    <w:rsid w:val="000747DF"/>
    <w:rsid w:val="000D3238"/>
    <w:rsid w:val="000E3D45"/>
    <w:rsid w:val="001057CD"/>
    <w:rsid w:val="00114993"/>
    <w:rsid w:val="001538DF"/>
    <w:rsid w:val="00160176"/>
    <w:rsid w:val="00172A27"/>
    <w:rsid w:val="001C4E62"/>
    <w:rsid w:val="001E5E13"/>
    <w:rsid w:val="001F1C77"/>
    <w:rsid w:val="00202627"/>
    <w:rsid w:val="002313F8"/>
    <w:rsid w:val="00243BE5"/>
    <w:rsid w:val="00280FC8"/>
    <w:rsid w:val="00281628"/>
    <w:rsid w:val="002A4250"/>
    <w:rsid w:val="002D3105"/>
    <w:rsid w:val="002F366F"/>
    <w:rsid w:val="003126A2"/>
    <w:rsid w:val="00327425"/>
    <w:rsid w:val="00351013"/>
    <w:rsid w:val="0038269F"/>
    <w:rsid w:val="003C1EE3"/>
    <w:rsid w:val="003C2921"/>
    <w:rsid w:val="00434AB2"/>
    <w:rsid w:val="00447B7B"/>
    <w:rsid w:val="00472758"/>
    <w:rsid w:val="004A2A52"/>
    <w:rsid w:val="004C6E11"/>
    <w:rsid w:val="004D535B"/>
    <w:rsid w:val="004E1E50"/>
    <w:rsid w:val="005014DA"/>
    <w:rsid w:val="00535C04"/>
    <w:rsid w:val="00565BDB"/>
    <w:rsid w:val="0058301E"/>
    <w:rsid w:val="00591AF1"/>
    <w:rsid w:val="006504BC"/>
    <w:rsid w:val="00663662"/>
    <w:rsid w:val="006869D7"/>
    <w:rsid w:val="006B7DE5"/>
    <w:rsid w:val="006D116B"/>
    <w:rsid w:val="006D5F05"/>
    <w:rsid w:val="006F423E"/>
    <w:rsid w:val="007574AE"/>
    <w:rsid w:val="00775E43"/>
    <w:rsid w:val="007769D2"/>
    <w:rsid w:val="007774F7"/>
    <w:rsid w:val="007C5952"/>
    <w:rsid w:val="007F1813"/>
    <w:rsid w:val="00807699"/>
    <w:rsid w:val="008357AF"/>
    <w:rsid w:val="008A0D42"/>
    <w:rsid w:val="008B0661"/>
    <w:rsid w:val="008B4A43"/>
    <w:rsid w:val="008D522F"/>
    <w:rsid w:val="008F48FF"/>
    <w:rsid w:val="00932A2B"/>
    <w:rsid w:val="00952C3E"/>
    <w:rsid w:val="00966D68"/>
    <w:rsid w:val="009A7D18"/>
    <w:rsid w:val="00A17680"/>
    <w:rsid w:val="00A36C2E"/>
    <w:rsid w:val="00A74AAA"/>
    <w:rsid w:val="00A82B4C"/>
    <w:rsid w:val="00A90693"/>
    <w:rsid w:val="00A92299"/>
    <w:rsid w:val="00AA7DAE"/>
    <w:rsid w:val="00AB5C42"/>
    <w:rsid w:val="00AB6610"/>
    <w:rsid w:val="00B16856"/>
    <w:rsid w:val="00B2743B"/>
    <w:rsid w:val="00B5442A"/>
    <w:rsid w:val="00B90081"/>
    <w:rsid w:val="00BB6433"/>
    <w:rsid w:val="00BD3EF9"/>
    <w:rsid w:val="00C05597"/>
    <w:rsid w:val="00C407C6"/>
    <w:rsid w:val="00C45C66"/>
    <w:rsid w:val="00C526B3"/>
    <w:rsid w:val="00C5341C"/>
    <w:rsid w:val="00C91402"/>
    <w:rsid w:val="00CA0538"/>
    <w:rsid w:val="00CA217D"/>
    <w:rsid w:val="00CA4630"/>
    <w:rsid w:val="00CC1A61"/>
    <w:rsid w:val="00CC4CFF"/>
    <w:rsid w:val="00CD745F"/>
    <w:rsid w:val="00CE668C"/>
    <w:rsid w:val="00CE747A"/>
    <w:rsid w:val="00D46F1B"/>
    <w:rsid w:val="00D810F3"/>
    <w:rsid w:val="00E356BF"/>
    <w:rsid w:val="00E441A6"/>
    <w:rsid w:val="00E51530"/>
    <w:rsid w:val="00E625A9"/>
    <w:rsid w:val="00EC4D5E"/>
    <w:rsid w:val="00EE7727"/>
    <w:rsid w:val="00EF26A5"/>
    <w:rsid w:val="00F05556"/>
    <w:rsid w:val="00F26C92"/>
    <w:rsid w:val="00F92147"/>
    <w:rsid w:val="00F9233E"/>
    <w:rsid w:val="00FC644D"/>
    <w:rsid w:val="00FD109C"/>
    <w:rsid w:val="05E61E05"/>
    <w:rsid w:val="1438752A"/>
    <w:rsid w:val="1A8C0ABF"/>
    <w:rsid w:val="1C7E3E0C"/>
    <w:rsid w:val="1CA901AC"/>
    <w:rsid w:val="20EF1419"/>
    <w:rsid w:val="27DA3C19"/>
    <w:rsid w:val="287F0862"/>
    <w:rsid w:val="29F66A99"/>
    <w:rsid w:val="2A8A0DC3"/>
    <w:rsid w:val="33817585"/>
    <w:rsid w:val="38982D64"/>
    <w:rsid w:val="3C5D1486"/>
    <w:rsid w:val="452B7FC7"/>
    <w:rsid w:val="458E0CDE"/>
    <w:rsid w:val="45A768E6"/>
    <w:rsid w:val="46F379D2"/>
    <w:rsid w:val="4BBF484E"/>
    <w:rsid w:val="532248E3"/>
    <w:rsid w:val="5B58652D"/>
    <w:rsid w:val="5E660161"/>
    <w:rsid w:val="609A49A5"/>
    <w:rsid w:val="6126646C"/>
    <w:rsid w:val="705C4DE2"/>
    <w:rsid w:val="720652E1"/>
    <w:rsid w:val="7D8D49D9"/>
    <w:rsid w:val="7F042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BE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243BE5"/>
    <w:rPr>
      <w:rFonts w:ascii="Calibri" w:eastAsia="宋体" w:hAnsi="Calibri" w:cs="Times New Roman"/>
      <w:kern w:val="2"/>
      <w:sz w:val="18"/>
      <w:szCs w:val="18"/>
    </w:rPr>
  </w:style>
  <w:style w:type="character" w:customStyle="1" w:styleId="Char0">
    <w:name w:val="页脚 Char"/>
    <w:link w:val="a4"/>
    <w:rsid w:val="00243BE5"/>
    <w:rPr>
      <w:rFonts w:ascii="Calibri" w:eastAsia="宋体" w:hAnsi="Calibri" w:cs="Times New Roman"/>
      <w:kern w:val="2"/>
      <w:sz w:val="18"/>
      <w:szCs w:val="18"/>
    </w:rPr>
  </w:style>
  <w:style w:type="paragraph" w:styleId="a3">
    <w:name w:val="header"/>
    <w:basedOn w:val="a"/>
    <w:link w:val="Char"/>
    <w:rsid w:val="00243BE5"/>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4">
    <w:name w:val="footer"/>
    <w:basedOn w:val="a"/>
    <w:link w:val="Char0"/>
    <w:rsid w:val="00243BE5"/>
    <w:pPr>
      <w:tabs>
        <w:tab w:val="center" w:pos="4153"/>
        <w:tab w:val="right" w:pos="8306"/>
      </w:tabs>
      <w:snapToGrid w:val="0"/>
      <w:jc w:val="left"/>
    </w:pPr>
    <w:rPr>
      <w:rFonts w:ascii="Times New Roman" w:hAnsi="Times New Roman"/>
      <w:sz w:val="18"/>
      <w:szCs w:val="18"/>
    </w:rPr>
  </w:style>
  <w:style w:type="table" w:styleId="a5">
    <w:name w:val="Table Grid"/>
    <w:basedOn w:val="a1"/>
    <w:rsid w:val="00243BE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Oba华</dc:creator>
  <cp:lastModifiedBy>Administrator</cp:lastModifiedBy>
  <cp:revision>6</cp:revision>
  <dcterms:created xsi:type="dcterms:W3CDTF">2020-03-26T08:31:00Z</dcterms:created>
  <dcterms:modified xsi:type="dcterms:W3CDTF">2020-03-26T08:59:00Z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